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B9" w:rsidRDefault="00E866B9" w:rsidP="00E866B9">
      <w:pPr>
        <w:pStyle w:val="ConsPlusNormal"/>
        <w:outlineLvl w:val="0"/>
      </w:pPr>
      <w:proofErr w:type="gramStart"/>
      <w:r>
        <w:t>Включен в Реестр нормативных актов органов исполнительной власти Нижегородской области 26 декабря 2012 года N 04524-516-073/4</w:t>
      </w:r>
      <w:proofErr w:type="gramEnd"/>
    </w:p>
    <w:p w:rsidR="00E866B9" w:rsidRDefault="00E866B9" w:rsidP="00E866B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E866B9" w:rsidRDefault="00E866B9" w:rsidP="00E866B9">
      <w:pPr>
        <w:pStyle w:val="ConsPlusNormal"/>
        <w:jc w:val="both"/>
      </w:pPr>
    </w:p>
    <w:p w:rsidR="00E866B9" w:rsidRDefault="00E866B9" w:rsidP="00E866B9">
      <w:pPr>
        <w:pStyle w:val="ConsPlusNormal"/>
        <w:jc w:val="center"/>
        <w:rPr>
          <w:b/>
          <w:bCs/>
        </w:rPr>
      </w:pPr>
      <w:r>
        <w:rPr>
          <w:b/>
          <w:bCs/>
        </w:rPr>
        <w:t>РЕГИОНАЛЬНАЯ СЛУЖБА ПО ТАРИФАМ</w:t>
      </w:r>
    </w:p>
    <w:p w:rsidR="00E866B9" w:rsidRDefault="00E866B9" w:rsidP="00E866B9">
      <w:pPr>
        <w:pStyle w:val="ConsPlusNormal"/>
        <w:jc w:val="center"/>
        <w:rPr>
          <w:b/>
          <w:bCs/>
        </w:rPr>
      </w:pPr>
      <w:r>
        <w:rPr>
          <w:b/>
          <w:bCs/>
        </w:rPr>
        <w:t>НИЖЕГОРОДСКОЙ ОБЛАСТИ</w:t>
      </w:r>
    </w:p>
    <w:p w:rsidR="00E866B9" w:rsidRDefault="00E866B9" w:rsidP="00E866B9">
      <w:pPr>
        <w:pStyle w:val="ConsPlusNormal"/>
        <w:jc w:val="center"/>
        <w:rPr>
          <w:b/>
          <w:bCs/>
        </w:rPr>
      </w:pPr>
    </w:p>
    <w:p w:rsidR="00E866B9" w:rsidRDefault="00E866B9" w:rsidP="00E866B9">
      <w:pPr>
        <w:pStyle w:val="ConsPlusNormal"/>
        <w:jc w:val="center"/>
        <w:rPr>
          <w:b/>
          <w:bCs/>
        </w:rPr>
      </w:pPr>
      <w:r>
        <w:rPr>
          <w:b/>
          <w:bCs/>
        </w:rPr>
        <w:t>РЕШЕНИЕ</w:t>
      </w:r>
    </w:p>
    <w:p w:rsidR="00E866B9" w:rsidRDefault="00E866B9" w:rsidP="00E866B9">
      <w:pPr>
        <w:pStyle w:val="ConsPlusNormal"/>
        <w:jc w:val="center"/>
        <w:rPr>
          <w:b/>
          <w:bCs/>
        </w:rPr>
      </w:pPr>
      <w:r>
        <w:rPr>
          <w:b/>
          <w:bCs/>
        </w:rPr>
        <w:t>от 21 декабря 2012 г. N 73/4</w:t>
      </w:r>
    </w:p>
    <w:p w:rsidR="00E866B9" w:rsidRDefault="00E866B9" w:rsidP="00E866B9">
      <w:pPr>
        <w:pStyle w:val="ConsPlusNormal"/>
        <w:jc w:val="center"/>
        <w:rPr>
          <w:b/>
          <w:bCs/>
        </w:rPr>
      </w:pPr>
    </w:p>
    <w:p w:rsidR="00E866B9" w:rsidRDefault="00E866B9" w:rsidP="00E866B9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ЦЕН (ТАРИФОВ) НА ЭЛЕКТРИЧЕСКУЮ ЭНЕРГИЮ</w:t>
      </w:r>
    </w:p>
    <w:p w:rsidR="00E866B9" w:rsidRDefault="00E866B9" w:rsidP="00E866B9">
      <w:pPr>
        <w:pStyle w:val="ConsPlusNormal"/>
        <w:jc w:val="center"/>
        <w:rPr>
          <w:b/>
          <w:bCs/>
        </w:rPr>
      </w:pPr>
      <w:r>
        <w:rPr>
          <w:b/>
          <w:bCs/>
        </w:rPr>
        <w:t>ДЛЯ НАСЕЛЕНИЯ И ПРИРАВНЕННЫХ К НЕМУ КАТЕГОРИЙ ПОТРЕБИТЕЛЕЙ</w:t>
      </w:r>
    </w:p>
    <w:p w:rsidR="00E866B9" w:rsidRDefault="00E866B9" w:rsidP="00E866B9">
      <w:pPr>
        <w:pStyle w:val="ConsPlusNormal"/>
        <w:jc w:val="center"/>
        <w:rPr>
          <w:b/>
          <w:bCs/>
        </w:rPr>
      </w:pPr>
      <w:r>
        <w:rPr>
          <w:b/>
          <w:bCs/>
        </w:rPr>
        <w:t>НА ТЕРРИТОРИИ НИЖЕГОРОДСКОЙ ОБЛАСТИ НА 2013 ГОД</w:t>
      </w:r>
    </w:p>
    <w:p w:rsidR="00E866B9" w:rsidRDefault="00E866B9" w:rsidP="00E866B9">
      <w:pPr>
        <w:pStyle w:val="ConsPlusNormal"/>
        <w:jc w:val="center"/>
      </w:pPr>
    </w:p>
    <w:p w:rsidR="00E866B9" w:rsidRDefault="00E866B9" w:rsidP="00E866B9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решения</w:t>
        </w:r>
      </w:hyperlink>
      <w:r>
        <w:t xml:space="preserve"> РСТ Нижегородской области</w:t>
      </w:r>
      <w:proofErr w:type="gramEnd"/>
    </w:p>
    <w:p w:rsidR="00E866B9" w:rsidRDefault="00E866B9" w:rsidP="00E866B9">
      <w:pPr>
        <w:pStyle w:val="ConsPlusNormal"/>
        <w:jc w:val="center"/>
      </w:pPr>
      <w:r>
        <w:t>от 12.09.2013 N 43/16)</w:t>
      </w:r>
    </w:p>
    <w:p w:rsidR="00E866B9" w:rsidRDefault="00E866B9" w:rsidP="00E866B9">
      <w:pPr>
        <w:pStyle w:val="ConsPlusNormal"/>
        <w:jc w:val="both"/>
      </w:pPr>
    </w:p>
    <w:p w:rsidR="00E866B9" w:rsidRDefault="00E866B9" w:rsidP="00E866B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 марта 2003 году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ФСТ России от 6 августа 2004 года N 20-э/2 "Об утверждении Методических указаний по расчету регулируемых тарифов и цен на электрическую (тепловую) энергию на</w:t>
      </w:r>
      <w:proofErr w:type="gramEnd"/>
      <w:r>
        <w:t xml:space="preserve"> </w:t>
      </w:r>
      <w:proofErr w:type="gramStart"/>
      <w:r>
        <w:t xml:space="preserve">розничном (потребительском) рынке", </w:t>
      </w:r>
      <w:hyperlink r:id="rId9" w:history="1">
        <w:r>
          <w:rPr>
            <w:color w:val="0000FF"/>
          </w:rPr>
          <w:t>приказом</w:t>
        </w:r>
      </w:hyperlink>
      <w:r>
        <w:t xml:space="preserve"> ФСТ России от 8 апреля 2005 года N 130-э "Об утверждении регламента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ФСТ России от 9 октября 2012 года N 230-э/3 "О предельных уровнях тарифов на</w:t>
      </w:r>
      <w:proofErr w:type="gramEnd"/>
      <w:r>
        <w:t xml:space="preserve"> электрическую энергию, поставляемую населению и приравненным к нему категориям потребителей, на 2013 год", </w:t>
      </w:r>
      <w:hyperlink r:id="rId11" w:history="1">
        <w:r>
          <w:rPr>
            <w:color w:val="0000FF"/>
          </w:rPr>
          <w:t>приказом</w:t>
        </w:r>
      </w:hyperlink>
      <w:r>
        <w:t xml:space="preserve"> ФСТ России от 31 декабря 2010 года N 655-э "Об определении категорий потребителей, которые приравнены к населению и которым электрическая энергия (мощность) поставляется по регулируемым ценам (тарифам)":</w:t>
      </w:r>
    </w:p>
    <w:p w:rsidR="00E866B9" w:rsidRDefault="00E866B9" w:rsidP="00E866B9">
      <w:pPr>
        <w:pStyle w:val="ConsPlusNormal"/>
        <w:ind w:firstLine="540"/>
        <w:jc w:val="both"/>
      </w:pPr>
      <w:r>
        <w:t xml:space="preserve">4.1. Установить и ввести в действие с 1 января по 30 июня 2013 года включительно </w:t>
      </w:r>
      <w:hyperlink w:anchor="Par34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потребителей на территории Нижегородской области согласно Приложению 1.</w:t>
      </w:r>
    </w:p>
    <w:p w:rsidR="00E866B9" w:rsidRDefault="00E866B9" w:rsidP="00E866B9">
      <w:pPr>
        <w:pStyle w:val="ConsPlusNormal"/>
        <w:ind w:firstLine="540"/>
        <w:jc w:val="both"/>
      </w:pPr>
      <w:r>
        <w:t xml:space="preserve">4.2. Установить и ввести в действие с 1 июля по 31 декабря 2013 года включительно </w:t>
      </w:r>
      <w:hyperlink w:anchor="Par242" w:history="1">
        <w:r>
          <w:rPr>
            <w:color w:val="0000FF"/>
          </w:rPr>
          <w:t>цены</w:t>
        </w:r>
      </w:hyperlink>
      <w:r>
        <w:t xml:space="preserve"> (тарифы) на электрическую энергию для населения и приравненных к нему потребителей на территории Нижегородской области согласно Приложению 2.</w:t>
      </w:r>
    </w:p>
    <w:p w:rsidR="00E866B9" w:rsidRDefault="00E866B9" w:rsidP="00E866B9">
      <w:pPr>
        <w:pStyle w:val="ConsPlusNormal"/>
        <w:ind w:firstLine="540"/>
        <w:jc w:val="both"/>
      </w:pPr>
      <w:r>
        <w:t>4.3. Настоящее решение вступает в силу в установленном порядке и действует с 1 января по 31 декабря 2013 года.</w:t>
      </w:r>
    </w:p>
    <w:p w:rsidR="00E866B9" w:rsidRDefault="00E866B9" w:rsidP="00E866B9">
      <w:pPr>
        <w:pStyle w:val="ConsPlusNormal"/>
        <w:jc w:val="both"/>
      </w:pPr>
    </w:p>
    <w:p w:rsidR="00E866B9" w:rsidRDefault="00E866B9" w:rsidP="00E866B9">
      <w:pPr>
        <w:pStyle w:val="ConsPlusNormal"/>
        <w:jc w:val="right"/>
      </w:pPr>
      <w:r>
        <w:t>Руководитель службы</w:t>
      </w:r>
    </w:p>
    <w:p w:rsidR="00E866B9" w:rsidRDefault="00E866B9" w:rsidP="00E866B9">
      <w:pPr>
        <w:pStyle w:val="ConsPlusNormal"/>
        <w:jc w:val="right"/>
      </w:pPr>
      <w:r>
        <w:t>С.Б.ПРОТАСОВ</w:t>
      </w:r>
    </w:p>
    <w:p w:rsidR="00E866B9" w:rsidRDefault="00E866B9" w:rsidP="00E866B9">
      <w:pPr>
        <w:pStyle w:val="ConsPlusNormal"/>
        <w:jc w:val="both"/>
      </w:pPr>
    </w:p>
    <w:p w:rsidR="00E866B9" w:rsidRDefault="00E866B9" w:rsidP="00E866B9">
      <w:pPr>
        <w:pStyle w:val="ConsPlusNormal"/>
        <w:jc w:val="both"/>
      </w:pPr>
    </w:p>
    <w:p w:rsidR="00E866B9" w:rsidRDefault="00E866B9" w:rsidP="00E866B9">
      <w:pPr>
        <w:pStyle w:val="ConsPlusNormal"/>
        <w:jc w:val="right"/>
        <w:outlineLvl w:val="0"/>
      </w:pPr>
      <w:r>
        <w:t>Приложение 1</w:t>
      </w:r>
    </w:p>
    <w:p w:rsidR="00E866B9" w:rsidRDefault="00E866B9" w:rsidP="00E866B9">
      <w:pPr>
        <w:pStyle w:val="ConsPlusNormal"/>
        <w:jc w:val="right"/>
      </w:pPr>
      <w:r>
        <w:t>к решению</w:t>
      </w:r>
    </w:p>
    <w:p w:rsidR="00E866B9" w:rsidRDefault="00E866B9" w:rsidP="00E866B9">
      <w:pPr>
        <w:pStyle w:val="ConsPlusNormal"/>
        <w:jc w:val="right"/>
      </w:pPr>
      <w:r>
        <w:t>региональной службы по тарифам</w:t>
      </w:r>
    </w:p>
    <w:p w:rsidR="00E866B9" w:rsidRDefault="00E866B9" w:rsidP="00E866B9">
      <w:pPr>
        <w:pStyle w:val="ConsPlusNormal"/>
        <w:jc w:val="right"/>
      </w:pPr>
      <w:r>
        <w:t>Нижегородской области</w:t>
      </w:r>
    </w:p>
    <w:p w:rsidR="00E866B9" w:rsidRDefault="00E866B9" w:rsidP="00E866B9">
      <w:pPr>
        <w:pStyle w:val="ConsPlusNormal"/>
        <w:jc w:val="right"/>
      </w:pPr>
      <w:r>
        <w:t>от 21 декабря 2012 г. N 73/4</w:t>
      </w:r>
    </w:p>
    <w:p w:rsidR="00E866B9" w:rsidRDefault="00E866B9" w:rsidP="00E866B9">
      <w:pPr>
        <w:pStyle w:val="ConsPlusNormal"/>
        <w:jc w:val="both"/>
      </w:pPr>
    </w:p>
    <w:p w:rsidR="00E866B9" w:rsidRDefault="00E866B9" w:rsidP="00E866B9">
      <w:pPr>
        <w:pStyle w:val="ConsPlusNormal"/>
        <w:jc w:val="center"/>
      </w:pPr>
      <w:bookmarkStart w:id="0" w:name="Par34"/>
      <w:bookmarkEnd w:id="0"/>
      <w:r>
        <w:t>ЦЕНЫ (ТАРИФЫ)</w:t>
      </w:r>
    </w:p>
    <w:p w:rsidR="00E866B9" w:rsidRDefault="00E866B9" w:rsidP="00E866B9">
      <w:pPr>
        <w:pStyle w:val="ConsPlusNormal"/>
        <w:jc w:val="center"/>
      </w:pPr>
      <w:r>
        <w:t xml:space="preserve">НА ЭЛЕКТРИЧЕСКУЮ ЭНЕРГИЮ ДЛЯ НАСЕЛЕНИЯ И </w:t>
      </w:r>
      <w:proofErr w:type="gramStart"/>
      <w:r>
        <w:t>ПРИРАВНЕННЫХ</w:t>
      </w:r>
      <w:proofErr w:type="gramEnd"/>
    </w:p>
    <w:p w:rsidR="00E866B9" w:rsidRDefault="00E866B9" w:rsidP="00E866B9">
      <w:pPr>
        <w:pStyle w:val="ConsPlusNormal"/>
        <w:jc w:val="center"/>
      </w:pPr>
      <w:r>
        <w:t>К НЕМУ ПОТРЕБИТЕЛЕЙ НА ТЕРРИТОРИИ НИЖЕГОРОДСКОЙ ОБЛАСТИ</w:t>
      </w:r>
    </w:p>
    <w:p w:rsidR="00E866B9" w:rsidRDefault="00E866B9" w:rsidP="00E866B9">
      <w:pPr>
        <w:pStyle w:val="ConsPlusNormal"/>
        <w:jc w:val="center"/>
      </w:pPr>
      <w:r>
        <w:t>(С 1 ЯНВАРЯ ПО 30 ИЮНЯ 2013 ГОДА ВКЛЮЧИТЕЛЬНО)</w:t>
      </w:r>
    </w:p>
    <w:p w:rsidR="00E866B9" w:rsidRDefault="00E866B9" w:rsidP="00E866B9">
      <w:pPr>
        <w:pStyle w:val="ConsPlusNormal"/>
        <w:jc w:val="center"/>
      </w:pPr>
    </w:p>
    <w:p w:rsidR="00E866B9" w:rsidRDefault="00E866B9" w:rsidP="00E866B9">
      <w:pPr>
        <w:pStyle w:val="ConsPlusNormal"/>
        <w:jc w:val="center"/>
      </w:pPr>
      <w:proofErr w:type="gramStart"/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РСТ Нижегородской области</w:t>
      </w:r>
      <w:proofErr w:type="gramEnd"/>
    </w:p>
    <w:p w:rsidR="00E866B9" w:rsidRDefault="00E866B9" w:rsidP="00E866B9">
      <w:pPr>
        <w:pStyle w:val="ConsPlusNormal"/>
        <w:jc w:val="center"/>
      </w:pPr>
      <w:r>
        <w:t>от 12.09.2013 N 43/16)</w:t>
      </w:r>
    </w:p>
    <w:p w:rsidR="00E866B9" w:rsidRDefault="00E866B9" w:rsidP="00E866B9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4400"/>
        <w:gridCol w:w="1056"/>
        <w:gridCol w:w="704"/>
      </w:tblGrid>
      <w:tr w:rsidR="00E866B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(группы потребителей с разбивкой   </w:t>
            </w:r>
            <w:proofErr w:type="gramEnd"/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тарифа по ставкам и дифференциацией по зонам  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суток)                 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измерений 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Тарифы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   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указываются с учетом НДС)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51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в  пунктах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8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1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тариф: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в пределах социальной нормы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2,43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сверх социальной нормы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4,61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в пределах социальной нормы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2,44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сверх социальной нормы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4,83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1,21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2,41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в пределах социальной нормы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2,50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сверх социальной нормы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4,95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в пределах социальной нормы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2,05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сверх социальной нормы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3,97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1,21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2,41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4"/>
            <w:bookmarkEnd w:id="2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 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городских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населенных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пунктах в домах, оборудованных  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стационарными   электроплитами  и (или)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электроотопительными установками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тариф: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в пределах социальной нормы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1,70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сверх социальной нормы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3,23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в пределах социальной нормы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1,71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сверх социальной нормы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3,38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0,85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1,69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в пределах социальной нормы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1,75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сверх социальной нормы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3,47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в пределах социальной нормы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1,43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сверх социальной нормы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2,78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0,85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1,69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119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 проживающее  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сельских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населенных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пунктах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в пределах социальной нормы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1,70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сверх социальной нормы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3,23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в пределах социальной нормы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1,71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сверх социальной нормы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3,38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0,85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1,69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в пределах социальной нормы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1,75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сверх социальной нормы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3,47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в пределах социальной нормы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1,43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сверх социальной нормы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2,78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0,85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1,69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пунктов, в  том  числе,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фонд,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п. 2.1.2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2,43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 пунктов,  жилой  фонд,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в     установленном     порядке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стационарными     электроплитами     и     (или)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электроотопительными установками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1,70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2.1.3.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сельских населенных пунктов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1,70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2.2.  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пунктов, в  том  числе,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фонд,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п. 2.2.2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2,44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2,41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 пунктов,  жилой  фонд,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в     установленном     порядке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стационарными     электроплитами     и     (или)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электроотопительными установками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1,71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1,69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сельских населенных пунктов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1,71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1,69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пунктов, в  том  числе,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фонд,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п. 2.3.2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2,50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2,43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2,41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 пунктов,  жилой  фонд,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в     установленном     порядке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стационарными     электроплитами     и     (или)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электроотопительными установками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1,75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1,70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1,69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2.3.3.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сельских населенных пунктов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1,75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1,70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1,69 </w:t>
            </w:r>
          </w:p>
        </w:tc>
      </w:tr>
    </w:tbl>
    <w:p w:rsidR="00E866B9" w:rsidRDefault="00E866B9" w:rsidP="00E866B9">
      <w:pPr>
        <w:pStyle w:val="ConsPlusNormal"/>
        <w:jc w:val="both"/>
      </w:pPr>
    </w:p>
    <w:p w:rsidR="00E866B9" w:rsidRDefault="00E866B9" w:rsidP="00E866B9">
      <w:pPr>
        <w:pStyle w:val="ConsPlusNormal"/>
        <w:ind w:firstLine="540"/>
        <w:jc w:val="both"/>
      </w:pPr>
    </w:p>
    <w:p w:rsidR="00E866B9" w:rsidRDefault="00E866B9" w:rsidP="00E866B9">
      <w:pPr>
        <w:pStyle w:val="ConsPlusNormal"/>
        <w:ind w:firstLine="540"/>
        <w:jc w:val="both"/>
      </w:pPr>
      <w:r>
        <w:lastRenderedPageBreak/>
        <w:t>Примечания:</w:t>
      </w:r>
    </w:p>
    <w:p w:rsidR="00E866B9" w:rsidRDefault="00E866B9" w:rsidP="00E866B9">
      <w:pPr>
        <w:pStyle w:val="ConsPlusNormal"/>
        <w:ind w:firstLine="540"/>
        <w:jc w:val="both"/>
      </w:pPr>
      <w:r>
        <w:t xml:space="preserve">1. Интервалы тарифных зон суток (по месяцам календарного года) для применения </w:t>
      </w:r>
      <w:proofErr w:type="spellStart"/>
      <w:r>
        <w:t>одноставочного</w:t>
      </w:r>
      <w:proofErr w:type="spellEnd"/>
      <w:r>
        <w:t xml:space="preserve"> тарифа, дифференцированного по двум зонам суток и </w:t>
      </w:r>
      <w:proofErr w:type="spellStart"/>
      <w:r>
        <w:t>одноставочного</w:t>
      </w:r>
      <w:proofErr w:type="spellEnd"/>
      <w:r>
        <w:t xml:space="preserve"> тарифа, дифференцированного по трем зонам суток, утверждаются Федеральной службой по тарифам.</w:t>
      </w:r>
    </w:p>
    <w:p w:rsidR="00E866B9" w:rsidRDefault="00E866B9" w:rsidP="00E866B9">
      <w:pPr>
        <w:pStyle w:val="ConsPlusNormal"/>
        <w:ind w:firstLine="540"/>
        <w:jc w:val="both"/>
      </w:pPr>
      <w:r>
        <w:t xml:space="preserve">2. По тарифам на электрическую энергию, установленным для городского и сельского населения, в зависимости от местоположения потребителя и типа установленного прибора учета в соответствии с </w:t>
      </w:r>
      <w:hyperlink w:anchor="Par51" w:history="1">
        <w:r>
          <w:rPr>
            <w:color w:val="0000FF"/>
          </w:rPr>
          <w:t>пунктами 1.1</w:t>
        </w:r>
      </w:hyperlink>
      <w:r>
        <w:t xml:space="preserve">, </w:t>
      </w:r>
      <w:hyperlink w:anchor="Par84" w:history="1">
        <w:r>
          <w:rPr>
            <w:color w:val="0000FF"/>
          </w:rPr>
          <w:t>1.2</w:t>
        </w:r>
      </w:hyperlink>
      <w:r>
        <w:t xml:space="preserve"> и </w:t>
      </w:r>
      <w:hyperlink w:anchor="Par119" w:history="1">
        <w:r>
          <w:rPr>
            <w:color w:val="0000FF"/>
          </w:rPr>
          <w:t>1.3 таблицы</w:t>
        </w:r>
      </w:hyperlink>
      <w:r>
        <w:t xml:space="preserve"> Приложения 1 рассчитываются:</w:t>
      </w:r>
    </w:p>
    <w:p w:rsidR="00E866B9" w:rsidRDefault="00E866B9" w:rsidP="00E866B9">
      <w:pPr>
        <w:pStyle w:val="ConsPlusNormal"/>
        <w:ind w:firstLine="540"/>
        <w:jc w:val="both"/>
      </w:pPr>
      <w:proofErr w:type="gramStart"/>
      <w: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t>наймодатели</w:t>
      </w:r>
      <w:proofErr w:type="spellEnd"/>
      <w: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не используемого для осуществления коммерческой (профессиональной) деятельности;</w:t>
      </w:r>
    </w:p>
    <w:p w:rsidR="00E866B9" w:rsidRDefault="00E866B9" w:rsidP="00E866B9">
      <w:pPr>
        <w:pStyle w:val="ConsPlusNormal"/>
        <w:ind w:firstLine="540"/>
        <w:jc w:val="both"/>
      </w:pPr>
      <w:r>
        <w:t>- 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помещений;</w:t>
      </w:r>
    </w:p>
    <w:p w:rsidR="00E866B9" w:rsidRDefault="00E866B9" w:rsidP="00E866B9">
      <w:pPr>
        <w:pStyle w:val="ConsPlusNormal"/>
        <w:ind w:firstLine="540"/>
        <w:jc w:val="both"/>
      </w:pPr>
      <w: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E866B9" w:rsidRDefault="00E866B9" w:rsidP="00E866B9">
      <w:pPr>
        <w:pStyle w:val="ConsPlusNormal"/>
        <w:ind w:firstLine="540"/>
        <w:jc w:val="both"/>
      </w:pPr>
      <w:r>
        <w:t>- содержащиеся за счет прихожан религиозные организации.</w:t>
      </w:r>
    </w:p>
    <w:p w:rsidR="00E866B9" w:rsidRDefault="00E866B9" w:rsidP="00E866B9">
      <w:pPr>
        <w:pStyle w:val="ConsPlusNormal"/>
        <w:ind w:firstLine="540"/>
        <w:jc w:val="both"/>
      </w:pPr>
      <w:r>
        <w:t xml:space="preserve">3. Исключен. - </w:t>
      </w:r>
      <w:hyperlink r:id="rId13" w:history="1">
        <w:r>
          <w:rPr>
            <w:color w:val="0000FF"/>
          </w:rPr>
          <w:t>Решение</w:t>
        </w:r>
      </w:hyperlink>
      <w:r>
        <w:t xml:space="preserve"> РСТ Нижегородской области от 12.09.2013 N 43/16.</w:t>
      </w:r>
    </w:p>
    <w:p w:rsidR="00E866B9" w:rsidRDefault="00E866B9" w:rsidP="00E866B9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хозяйства, рассчитывающихся по договору энергоснабжения (купли-продажи) по общему счетчику, оплачивают электрическую энергию по тарифам в пределах социальной нормы потребления в соответствии с </w:t>
      </w:r>
      <w:hyperlink w:anchor="Par51" w:history="1">
        <w:r>
          <w:rPr>
            <w:color w:val="0000FF"/>
          </w:rPr>
          <w:t>пунктами 1.1</w:t>
        </w:r>
      </w:hyperlink>
      <w:r>
        <w:t xml:space="preserve"> и </w:t>
      </w:r>
      <w:hyperlink w:anchor="Par119" w:history="1">
        <w:r>
          <w:rPr>
            <w:color w:val="0000FF"/>
          </w:rPr>
          <w:t>1.3</w:t>
        </w:r>
      </w:hyperlink>
      <w:r>
        <w:t xml:space="preserve"> Приложения 1 к решению в зависимости</w:t>
      </w:r>
      <w:proofErr w:type="gramEnd"/>
      <w:r>
        <w:t xml:space="preserve"> от местоположения и типа установленного прибора учета.</w:t>
      </w:r>
    </w:p>
    <w:p w:rsidR="00E866B9" w:rsidRDefault="00E866B9" w:rsidP="00E866B9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Хозяйственные постройки физических лиц (погреба, сараи и иные сооружения аналогичного назначения),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деятельности, рассчитываются по тарифам на электрическую энергию сверх социальной нормы, установленным в соответствии с </w:t>
      </w:r>
      <w:hyperlink w:anchor="Par51" w:history="1">
        <w:r>
          <w:rPr>
            <w:color w:val="0000FF"/>
          </w:rPr>
          <w:t>подпунктами 1.1</w:t>
        </w:r>
      </w:hyperlink>
      <w:r>
        <w:t xml:space="preserve"> и </w:t>
      </w:r>
      <w:hyperlink w:anchor="Par119" w:history="1">
        <w:r>
          <w:rPr>
            <w:color w:val="0000FF"/>
          </w:rPr>
          <w:t>1.3</w:t>
        </w:r>
        <w:proofErr w:type="gramEnd"/>
        <w:r>
          <w:rPr>
            <w:color w:val="0000FF"/>
          </w:rPr>
          <w:t xml:space="preserve"> таблицы</w:t>
        </w:r>
      </w:hyperlink>
      <w:r>
        <w:t xml:space="preserve"> Приложения 1 к решению в зависимости от местоположения и типа установленного прибора учета.</w:t>
      </w:r>
    </w:p>
    <w:p w:rsidR="00E866B9" w:rsidRDefault="00E866B9" w:rsidP="00E866B9">
      <w:pPr>
        <w:pStyle w:val="ConsPlusNormal"/>
        <w:jc w:val="both"/>
      </w:pPr>
    </w:p>
    <w:p w:rsidR="00E866B9" w:rsidRDefault="00E866B9" w:rsidP="00E866B9">
      <w:pPr>
        <w:pStyle w:val="ConsPlusNormal"/>
        <w:jc w:val="both"/>
      </w:pPr>
    </w:p>
    <w:p w:rsidR="00E866B9" w:rsidRDefault="00E866B9" w:rsidP="00E866B9">
      <w:pPr>
        <w:pStyle w:val="ConsPlusNormal"/>
        <w:jc w:val="both"/>
      </w:pPr>
    </w:p>
    <w:p w:rsidR="00E866B9" w:rsidRDefault="00E866B9" w:rsidP="00E866B9">
      <w:pPr>
        <w:pStyle w:val="ConsPlusNormal"/>
        <w:jc w:val="both"/>
      </w:pPr>
    </w:p>
    <w:p w:rsidR="00E866B9" w:rsidRDefault="00E866B9" w:rsidP="00E866B9">
      <w:pPr>
        <w:pStyle w:val="ConsPlusNormal"/>
        <w:jc w:val="both"/>
      </w:pPr>
    </w:p>
    <w:p w:rsidR="00E866B9" w:rsidRDefault="00E866B9" w:rsidP="00E866B9">
      <w:pPr>
        <w:pStyle w:val="ConsPlusNormal"/>
        <w:jc w:val="right"/>
        <w:outlineLvl w:val="0"/>
      </w:pPr>
      <w:r>
        <w:t>Приложение 2</w:t>
      </w:r>
    </w:p>
    <w:p w:rsidR="00E866B9" w:rsidRDefault="00E866B9" w:rsidP="00E866B9">
      <w:pPr>
        <w:pStyle w:val="ConsPlusNormal"/>
        <w:jc w:val="right"/>
      </w:pPr>
      <w:r>
        <w:t>к решению</w:t>
      </w:r>
    </w:p>
    <w:p w:rsidR="00E866B9" w:rsidRDefault="00E866B9" w:rsidP="00E866B9">
      <w:pPr>
        <w:pStyle w:val="ConsPlusNormal"/>
        <w:jc w:val="right"/>
      </w:pPr>
      <w:r>
        <w:t>региональной службы по тарифам</w:t>
      </w:r>
    </w:p>
    <w:p w:rsidR="00E866B9" w:rsidRDefault="00E866B9" w:rsidP="00E866B9">
      <w:pPr>
        <w:pStyle w:val="ConsPlusNormal"/>
        <w:jc w:val="right"/>
      </w:pPr>
      <w:r>
        <w:t>Нижегородской области</w:t>
      </w:r>
    </w:p>
    <w:p w:rsidR="00E866B9" w:rsidRDefault="00E866B9" w:rsidP="00E866B9">
      <w:pPr>
        <w:pStyle w:val="ConsPlusNormal"/>
        <w:jc w:val="right"/>
      </w:pPr>
      <w:r>
        <w:t>от 21 декабря 2012 г. N 73/4</w:t>
      </w:r>
    </w:p>
    <w:p w:rsidR="00E866B9" w:rsidRDefault="00E866B9" w:rsidP="00E866B9">
      <w:pPr>
        <w:pStyle w:val="ConsPlusNormal"/>
        <w:jc w:val="both"/>
      </w:pPr>
    </w:p>
    <w:p w:rsidR="00E866B9" w:rsidRDefault="00E866B9" w:rsidP="00E866B9">
      <w:pPr>
        <w:pStyle w:val="ConsPlusNormal"/>
        <w:jc w:val="center"/>
      </w:pPr>
      <w:bookmarkStart w:id="4" w:name="Par242"/>
      <w:bookmarkEnd w:id="4"/>
      <w:r>
        <w:t>ЦЕНЫ (ТАРИФЫ) НА ЭЛЕКТРИЧЕСКУЮ ЭНЕРГИЮ</w:t>
      </w:r>
    </w:p>
    <w:p w:rsidR="00E866B9" w:rsidRDefault="00E866B9" w:rsidP="00E866B9">
      <w:pPr>
        <w:pStyle w:val="ConsPlusNormal"/>
        <w:jc w:val="center"/>
      </w:pPr>
      <w:r>
        <w:t>ДЛЯ НАСЕЛЕНИЯ И ПРИРАВНЕННЫХ К НЕМУ ПОТРЕБИТЕЛЕЙ</w:t>
      </w:r>
    </w:p>
    <w:p w:rsidR="00E866B9" w:rsidRDefault="00E866B9" w:rsidP="00E866B9">
      <w:pPr>
        <w:pStyle w:val="ConsPlusNormal"/>
        <w:jc w:val="center"/>
      </w:pPr>
      <w:r>
        <w:t>НА ТЕРРИТОРИИ НИЖЕГОРОДСКОЙ ОБЛАСТИ</w:t>
      </w:r>
    </w:p>
    <w:p w:rsidR="00E866B9" w:rsidRDefault="00E866B9" w:rsidP="00E866B9">
      <w:pPr>
        <w:pStyle w:val="ConsPlusNormal"/>
        <w:jc w:val="center"/>
      </w:pPr>
      <w:r>
        <w:t>(С 1 ИЮЛЯ ПО 31 ДЕКАБРЯ 2013 ГОДА ВКЛЮЧИТЕЛЬНО)</w:t>
      </w:r>
    </w:p>
    <w:p w:rsidR="00E866B9" w:rsidRDefault="00E866B9" w:rsidP="00E866B9">
      <w:pPr>
        <w:pStyle w:val="ConsPlusNormal"/>
        <w:jc w:val="center"/>
      </w:pPr>
    </w:p>
    <w:p w:rsidR="00E866B9" w:rsidRDefault="00E866B9" w:rsidP="00E866B9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РСТ Нижегородской области</w:t>
      </w:r>
      <w:proofErr w:type="gramEnd"/>
    </w:p>
    <w:p w:rsidR="00E866B9" w:rsidRDefault="00E866B9" w:rsidP="00E866B9">
      <w:pPr>
        <w:pStyle w:val="ConsPlusNormal"/>
        <w:jc w:val="center"/>
      </w:pPr>
      <w:r>
        <w:t>от 12.09.2013 N 43/16)</w:t>
      </w:r>
    </w:p>
    <w:p w:rsidR="00E866B9" w:rsidRDefault="00E866B9" w:rsidP="00E866B9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4400"/>
        <w:gridCol w:w="1056"/>
        <w:gridCol w:w="704"/>
      </w:tblGrid>
      <w:tr w:rsidR="00E866B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(группы потребителей с разбивкой   </w:t>
            </w:r>
            <w:proofErr w:type="gramEnd"/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тарифа по ставкам и дифференциацией по зонам  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суток)                   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измерений 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Тарифы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2                        </w:t>
            </w:r>
          </w:p>
        </w:tc>
        <w:tc>
          <w:tcPr>
            <w:tcW w:w="17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 (тарифы указываются с учетом НДС)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 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259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в  пунктах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1.2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1.3</w:t>
              </w:r>
            </w:hyperlink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тариф: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в пределах социальной нормы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2,72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сверх социальной нормы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4,84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1.1.2.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в пределах социальной нормы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2,76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сверх социальной нормы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5,21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1,35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2,70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1.1.3.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в пределах социальной нормы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2,80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сверх социальной нормы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5,54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в пределах социальной нормы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2,29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сверх социальной нормы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4,56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1,35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2,70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 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292"/>
            <w:bookmarkEnd w:id="6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проживающее  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городских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населенных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пунктах в домах, оборудованных  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установленном</w:t>
            </w:r>
            <w:proofErr w:type="gramEnd"/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стационарными  электроплитами  и  (или)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электроотопительными установками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тариф: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в пределах социальной нормы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1,90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сверх социальной нормы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3,39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в пределах социальной нормы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1,93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сверх социальной нормы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3,65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нормы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0,95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1,89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1.2.3.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в пределах социальной нормы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1,96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сверх социальной нормы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3,88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в пределах социальной нормы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1,60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сверх социальной нормы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3,19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0,95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1,89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 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327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Население,  проживающее  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сельских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населенных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пунктах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в пределах социальной нормы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1,90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сверх социальной нормы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3,39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в пределах социальной нормы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1,93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сверх социальной нормы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3,65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0,95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1,89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в пределах социальной нормы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1,96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сверх социальной нормы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3,88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в пределах социальной нормы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1,60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сверх социальной нормы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3,19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в пределах социальной нормы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0,95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сверх социальной нормы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1,89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Потребители, приравненные к населению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 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тариф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2.1.1.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пунктов, в  том  числе,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фонд,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</w:t>
            </w:r>
            <w:hyperlink w:anchor="Par3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п. 2.1.2</w:t>
              </w:r>
            </w:hyperlink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2,72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2.1.2.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 пунктов,  жилой  фонд,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в     установленном     порядке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стационарными     электроплитами     и     (или)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электроотопительными установками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367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 1,90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2.1.3.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сельских населенных пунктов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1,90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 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двум зонам суток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2.2.1.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пунктов, в  том  числе,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фонд,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п. </w:t>
            </w:r>
            <w:hyperlink w:anchor="Par3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2.2.2</w:t>
              </w:r>
            </w:hyperlink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2,76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2,70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2.2.2.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383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 пунктов,  жилой  фонд,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в     установленном     порядке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стационарными     электроплитами     и     (или)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электроотопительными установками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1,93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1,89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2.2.3.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сельских населенных пунктов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Дневная зона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1,93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1,89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 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Тариф, дифференцированный по трем зонам суток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2.3.1.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пунктов, в  том  числе,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жилой фонд, за исключением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п. </w:t>
            </w:r>
            <w:hyperlink w:anchor="Par40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2.3.2</w:t>
              </w:r>
            </w:hyperlink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2,80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2,72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2,70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2.3.2.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409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>Для городских населенных  пунктов,  жилой  фонд,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оборудованный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в     установленном     порядке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стационарными     электроплитами     и     (или)</w:t>
            </w:r>
          </w:p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электроотопительными установками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1,96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1,90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1,89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2.3.3.</w:t>
            </w: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сельских населенных пунктов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Пиковая зона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1,96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Полупиковая зона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1,90 </w:t>
            </w:r>
          </w:p>
        </w:tc>
      </w:tr>
      <w:tr w:rsidR="00E866B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pStyle w:val="ConsPlusNormal"/>
              <w:jc w:val="both"/>
            </w:pPr>
          </w:p>
        </w:tc>
        <w:tc>
          <w:tcPr>
            <w:tcW w:w="4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Ночная зона                                  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руб./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66B9" w:rsidRDefault="00E86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1,89 </w:t>
            </w:r>
          </w:p>
        </w:tc>
      </w:tr>
    </w:tbl>
    <w:p w:rsidR="00E866B9" w:rsidRDefault="00E866B9" w:rsidP="00E866B9">
      <w:pPr>
        <w:pStyle w:val="ConsPlusNormal"/>
        <w:jc w:val="both"/>
      </w:pPr>
    </w:p>
    <w:p w:rsidR="00E866B9" w:rsidRDefault="00E866B9" w:rsidP="00E866B9">
      <w:pPr>
        <w:pStyle w:val="ConsPlusNormal"/>
        <w:ind w:firstLine="540"/>
        <w:jc w:val="both"/>
      </w:pPr>
      <w:r>
        <w:t>Примечания:</w:t>
      </w:r>
    </w:p>
    <w:p w:rsidR="00E866B9" w:rsidRDefault="00E866B9" w:rsidP="00E866B9">
      <w:pPr>
        <w:pStyle w:val="ConsPlusNormal"/>
        <w:ind w:firstLine="540"/>
        <w:jc w:val="both"/>
      </w:pPr>
      <w:r>
        <w:t xml:space="preserve">1. Интервалы тарифных зон суток (по месяцам календарного года) для применения </w:t>
      </w:r>
      <w:proofErr w:type="spellStart"/>
      <w:r>
        <w:t>одноставочного</w:t>
      </w:r>
      <w:proofErr w:type="spellEnd"/>
      <w:r>
        <w:t xml:space="preserve"> тарифа, дифференцированного по двум зонам суток и </w:t>
      </w:r>
      <w:proofErr w:type="spellStart"/>
      <w:r>
        <w:t>одноставочного</w:t>
      </w:r>
      <w:proofErr w:type="spellEnd"/>
      <w:r>
        <w:t xml:space="preserve"> тарифа, дифференцированного по трем зонам суток, утверждаются Федеральной службой по тарифам.</w:t>
      </w:r>
    </w:p>
    <w:p w:rsidR="00E866B9" w:rsidRDefault="00E866B9" w:rsidP="00E866B9">
      <w:pPr>
        <w:pStyle w:val="ConsPlusNormal"/>
        <w:ind w:firstLine="540"/>
        <w:jc w:val="both"/>
      </w:pPr>
      <w:r>
        <w:t xml:space="preserve">2. По тарифам на электрическую энергию, установленным для городского и сельского населения, в зависимости от местоположения потребителя и типа установленного прибора учета в соответствии с </w:t>
      </w:r>
      <w:hyperlink w:anchor="Par259" w:history="1">
        <w:r>
          <w:rPr>
            <w:color w:val="0000FF"/>
          </w:rPr>
          <w:t>пунктами 1.1</w:t>
        </w:r>
      </w:hyperlink>
      <w:r>
        <w:t xml:space="preserve">, </w:t>
      </w:r>
      <w:hyperlink w:anchor="Par292" w:history="1">
        <w:r>
          <w:rPr>
            <w:color w:val="0000FF"/>
          </w:rPr>
          <w:t>1.2</w:t>
        </w:r>
      </w:hyperlink>
      <w:r>
        <w:t xml:space="preserve"> и </w:t>
      </w:r>
      <w:hyperlink w:anchor="Par327" w:history="1">
        <w:r>
          <w:rPr>
            <w:color w:val="0000FF"/>
          </w:rPr>
          <w:t>1.3 таблицы</w:t>
        </w:r>
      </w:hyperlink>
      <w:r>
        <w:t xml:space="preserve"> Приложения 2 рассчитываются:</w:t>
      </w:r>
    </w:p>
    <w:p w:rsidR="00E866B9" w:rsidRDefault="00E866B9" w:rsidP="00E866B9">
      <w:pPr>
        <w:pStyle w:val="ConsPlusNormal"/>
        <w:ind w:firstLine="540"/>
        <w:jc w:val="both"/>
      </w:pPr>
      <w:proofErr w:type="gramStart"/>
      <w:r>
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t>наймодатели</w:t>
      </w:r>
      <w:proofErr w:type="spellEnd"/>
      <w:r>
        <w:t xml:space="preserve">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жилые помещения</w:t>
      </w:r>
      <w:proofErr w:type="gramEnd"/>
      <w:r>
        <w:t xml:space="preserve">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населения и не используемого для осуществления коммерческой (профессиональной) деятельности;</w:t>
      </w:r>
    </w:p>
    <w:p w:rsidR="00E866B9" w:rsidRDefault="00E866B9" w:rsidP="00E866B9">
      <w:pPr>
        <w:pStyle w:val="ConsPlusNormal"/>
        <w:ind w:firstLine="540"/>
        <w:jc w:val="both"/>
      </w:pPr>
      <w:r>
        <w:t>- 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раздельного учета для указанных помещений;</w:t>
      </w:r>
    </w:p>
    <w:p w:rsidR="00E866B9" w:rsidRDefault="00E866B9" w:rsidP="00E866B9">
      <w:pPr>
        <w:pStyle w:val="ConsPlusNormal"/>
        <w:ind w:firstLine="540"/>
        <w:jc w:val="both"/>
      </w:pPr>
      <w: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счетчику;</w:t>
      </w:r>
    </w:p>
    <w:p w:rsidR="00E866B9" w:rsidRDefault="00E866B9" w:rsidP="00E866B9">
      <w:pPr>
        <w:pStyle w:val="ConsPlusNormal"/>
        <w:ind w:firstLine="540"/>
        <w:jc w:val="both"/>
      </w:pPr>
      <w:r>
        <w:t>- содержащиеся за счет прихожан религиозные организации.</w:t>
      </w:r>
    </w:p>
    <w:p w:rsidR="00E866B9" w:rsidRDefault="00E866B9" w:rsidP="00E866B9">
      <w:pPr>
        <w:pStyle w:val="ConsPlusNormal"/>
        <w:ind w:firstLine="540"/>
        <w:jc w:val="both"/>
      </w:pPr>
      <w:r>
        <w:t xml:space="preserve">3. Исключен. - </w:t>
      </w:r>
      <w:hyperlink r:id="rId15" w:history="1">
        <w:r>
          <w:rPr>
            <w:color w:val="0000FF"/>
          </w:rPr>
          <w:t>Решение</w:t>
        </w:r>
      </w:hyperlink>
      <w:r>
        <w:t xml:space="preserve"> РСТ Нижегородской области от 12.09.2013 N 43/16.</w:t>
      </w:r>
    </w:p>
    <w:p w:rsidR="00E866B9" w:rsidRDefault="00E866B9" w:rsidP="00E866B9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хозяйства, рассчитывающихся по договору энергоснабжения (купли-продажи) по общему счетчику, оплачивают электрическую энергию по тарифам в пределах социальной нормы потребления в соответствии с </w:t>
      </w:r>
      <w:hyperlink w:anchor="Par259" w:history="1">
        <w:r>
          <w:rPr>
            <w:color w:val="0000FF"/>
          </w:rPr>
          <w:t>пунктами 1.1</w:t>
        </w:r>
      </w:hyperlink>
      <w:r>
        <w:t xml:space="preserve"> и </w:t>
      </w:r>
      <w:hyperlink w:anchor="Par327" w:history="1">
        <w:r>
          <w:rPr>
            <w:color w:val="0000FF"/>
          </w:rPr>
          <w:t>1.3</w:t>
        </w:r>
      </w:hyperlink>
      <w:r>
        <w:t xml:space="preserve"> Приложения 2 к решению в зависимости</w:t>
      </w:r>
      <w:proofErr w:type="gramEnd"/>
      <w:r>
        <w:t xml:space="preserve"> от местоположения и типа установленного прибора учета.</w:t>
      </w:r>
    </w:p>
    <w:p w:rsidR="00E866B9" w:rsidRDefault="00E866B9" w:rsidP="00E866B9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Хозяйственные постройки физических лиц (погреба, сараи и иные сооружения аналогичного назначения),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электрической энергии в целях потребления на коммунально-бытовые нужды граждан и не используемого для осуществления коммерческой деятельности, рассчитываются по тарифам на электрическую энергию сверх социальной нормы, установленным в соответствии с </w:t>
      </w:r>
      <w:hyperlink w:anchor="Par259" w:history="1">
        <w:r>
          <w:rPr>
            <w:color w:val="0000FF"/>
          </w:rPr>
          <w:t>подпунктами 1.1</w:t>
        </w:r>
      </w:hyperlink>
      <w:r>
        <w:t xml:space="preserve"> и </w:t>
      </w:r>
      <w:hyperlink w:anchor="Par327" w:history="1">
        <w:r>
          <w:rPr>
            <w:color w:val="0000FF"/>
          </w:rPr>
          <w:t>1.3</w:t>
        </w:r>
        <w:proofErr w:type="gramEnd"/>
        <w:r>
          <w:rPr>
            <w:color w:val="0000FF"/>
          </w:rPr>
          <w:t xml:space="preserve"> таблицы</w:t>
        </w:r>
      </w:hyperlink>
      <w:r>
        <w:t xml:space="preserve"> Приложения 2 к решению в зависимости от местоположения и типа установленного прибора учета.</w:t>
      </w:r>
    </w:p>
    <w:p w:rsidR="00E866B9" w:rsidRDefault="00E866B9" w:rsidP="00E866B9">
      <w:pPr>
        <w:pStyle w:val="ConsPlusNormal"/>
        <w:jc w:val="both"/>
      </w:pPr>
    </w:p>
    <w:p w:rsidR="00E866B9" w:rsidRDefault="00E866B9" w:rsidP="00E866B9">
      <w:pPr>
        <w:pStyle w:val="ConsPlusNormal"/>
        <w:jc w:val="both"/>
      </w:pPr>
      <w:bookmarkStart w:id="11" w:name="_GoBack"/>
      <w:bookmarkEnd w:id="11"/>
    </w:p>
    <w:sectPr w:rsidR="00E8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CF"/>
    <w:rsid w:val="005504CF"/>
    <w:rsid w:val="008E6A26"/>
    <w:rsid w:val="00E8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6B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8EA1ED423FD4CDAA7BD31FEE522E400EE4E24A5F7D007AF577CD07B3B0181F44E02E8A80E7D11Ez7A0K" TargetMode="External"/><Relationship Id="rId13" Type="http://schemas.openxmlformats.org/officeDocument/2006/relationships/hyperlink" Target="consultantplus://offline/ref=268EA1ED423FD4CDAA7BCD12F83E714508EDB8435D7A0228A928965AE4B9124803AF77C8C4EAD01F717832zEA5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8EA1ED423FD4CDAA7BD31FEE522E400EE3E24B5F7E007AF577CD07B3zBA0K" TargetMode="External"/><Relationship Id="rId12" Type="http://schemas.openxmlformats.org/officeDocument/2006/relationships/hyperlink" Target="consultantplus://offline/ref=268EA1ED423FD4CDAA7BCD12F83E714508EDB8435D7A0228A928965AE4B9124803AF77C8C4EAD01F717832zEA5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8EA1ED423FD4CDAA7BD31FEE522E400EE3E2465B78007AF577CD07B3B0181F44E02E8A80E7D61Az7A7K" TargetMode="External"/><Relationship Id="rId11" Type="http://schemas.openxmlformats.org/officeDocument/2006/relationships/hyperlink" Target="consultantplus://offline/ref=268EA1ED423FD4CDAA7BD31FEE522E400EE7E047587C007AF577CD07B3B0181F44E02E8A80E7D11Ez7A1K" TargetMode="External"/><Relationship Id="rId5" Type="http://schemas.openxmlformats.org/officeDocument/2006/relationships/hyperlink" Target="consultantplus://offline/ref=268EA1ED423FD4CDAA7BCD12F83E714508EDB8435D7A0228A928965AE4B9124803AF77C8C4EAD01F717832zEA5K" TargetMode="External"/><Relationship Id="rId15" Type="http://schemas.openxmlformats.org/officeDocument/2006/relationships/hyperlink" Target="consultantplus://offline/ref=268EA1ED423FD4CDAA7BCD12F83E714508EDB8435D7A0228A928965AE4B9124803AF77C8C4EAD01F717832zEA5K" TargetMode="External"/><Relationship Id="rId10" Type="http://schemas.openxmlformats.org/officeDocument/2006/relationships/hyperlink" Target="consultantplus://offline/ref=268EA1ED423FD4CDAA7BD31FEE522E400EE5E14A5F71007AF577CD07B3zBA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8EA1ED423FD4CDAA7BD31FEE522E400EE5EE4E5D7A007AF577CD07B3B0181F44E02E8A80E7D11Ez7A1K" TargetMode="External"/><Relationship Id="rId14" Type="http://schemas.openxmlformats.org/officeDocument/2006/relationships/hyperlink" Target="consultantplus://offline/ref=268EA1ED423FD4CDAA7BCD12F83E714508EDB8435D7A0228A928965AE4B9124803AF77C8C4EAD01F717832zEA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3518</Words>
  <Characters>20057</Characters>
  <Application>Microsoft Office Word</Application>
  <DocSecurity>0</DocSecurity>
  <Lines>167</Lines>
  <Paragraphs>47</Paragraphs>
  <ScaleCrop>false</ScaleCrop>
  <Company/>
  <LinksUpToDate>false</LinksUpToDate>
  <CharactersWithSpaces>23528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Морозова</dc:creator>
  <cp:keywords/>
  <dc:description/>
  <cp:lastModifiedBy>Юлия И. Морозова</cp:lastModifiedBy>
  <cp:revision>2</cp:revision>
  <dcterms:created xsi:type="dcterms:W3CDTF">2013-12-24T09:58:00Z</dcterms:created>
  <dcterms:modified xsi:type="dcterms:W3CDTF">2013-12-24T10:02:00Z</dcterms:modified>
</cp:coreProperties>
</file>